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3"/>
        </w:rPr>
      </w:pPr>
    </w:p>
    <w:p>
      <w:pPr>
        <w:pStyle w:val="BodyText"/>
        <w:ind w:left="7823"/>
        <w:rPr>
          <w:rFonts w:ascii="Times New Roman"/>
          <w:sz w:val="20"/>
        </w:rPr>
      </w:pPr>
      <w:r>
        <w:rPr>
          <w:rFonts w:ascii="Times New Roman"/>
          <w:sz w:val="20"/>
        </w:rPr>
        <w:drawing>
          <wp:inline distT="0" distB="0" distL="0" distR="0">
            <wp:extent cx="1196475" cy="16211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196475" cy="162115"/>
                    </a:xfrm>
                    <a:prstGeom prst="rect">
                      <a:avLst/>
                    </a:prstGeom>
                  </pic:spPr>
                </pic:pic>
              </a:graphicData>
            </a:graphic>
          </wp:inline>
        </w:drawing>
      </w:r>
      <w:r>
        <w:rPr>
          <w:rFonts w:ascii="Times New Roman"/>
          <w:sz w:val="20"/>
        </w:rPr>
      </w:r>
    </w:p>
    <w:p>
      <w:pPr>
        <w:pStyle w:val="BodyText"/>
        <w:spacing w:before="2"/>
        <w:rPr>
          <w:rFonts w:ascii="Times New Roman"/>
          <w:sz w:val="13"/>
        </w:rPr>
      </w:pPr>
    </w:p>
    <w:p>
      <w:pPr>
        <w:spacing w:after="0"/>
        <w:rPr>
          <w:rFonts w:ascii="Times New Roman"/>
          <w:sz w:val="13"/>
        </w:rPr>
        <w:sectPr>
          <w:headerReference w:type="default" r:id="rId5"/>
          <w:type w:val="continuous"/>
          <w:pgSz w:w="11910" w:h="16840"/>
          <w:pgMar w:header="774" w:top="1360" w:bottom="280" w:left="1060" w:right="960"/>
        </w:sectPr>
      </w:pPr>
    </w:p>
    <w:p>
      <w:pPr>
        <w:spacing w:before="433"/>
        <w:ind w:left="130" w:right="0" w:firstLine="0"/>
        <w:jc w:val="left"/>
        <w:rPr>
          <w:rFonts w:ascii="Arial"/>
          <w:sz w:val="36"/>
        </w:rPr>
      </w:pPr>
      <w:r>
        <w:rPr>
          <w:rFonts w:ascii="Arial"/>
          <w:color w:val="009FDA"/>
          <w:w w:val="130"/>
          <w:sz w:val="36"/>
        </w:rPr>
        <w:t>TYPE APPROVAL CERTIFICATE</w:t>
      </w:r>
    </w:p>
    <w:p>
      <w:pPr>
        <w:pStyle w:val="BodyText"/>
        <w:spacing w:before="100"/>
        <w:ind w:left="130"/>
      </w:pPr>
      <w:r>
        <w:rPr/>
        <w:br w:type="column"/>
      </w:r>
      <w:r>
        <w:rPr/>
        <w:t>Certificate</w:t>
      </w:r>
      <w:r>
        <w:rPr>
          <w:spacing w:val="-10"/>
        </w:rPr>
        <w:t> </w:t>
      </w:r>
      <w:r>
        <w:rPr/>
        <w:t>No:</w:t>
      </w:r>
    </w:p>
    <w:p>
      <w:pPr>
        <w:pStyle w:val="Heading2"/>
      </w:pPr>
      <w:bookmarkStart w:name="_bookmark0" w:id="1"/>
      <w:bookmarkEnd w:id="1"/>
      <w:r>
        <w:rPr>
          <w:b w:val="0"/>
        </w:rPr>
      </w:r>
      <w:r>
        <w:rPr/>
        <w:t>TAS00000SR</w:t>
      </w:r>
    </w:p>
    <w:p>
      <w:pPr>
        <w:spacing w:after="0"/>
        <w:sectPr>
          <w:type w:val="continuous"/>
          <w:pgSz w:w="11910" w:h="16840"/>
          <w:pgMar w:top="1360" w:bottom="280" w:left="1060" w:right="960"/>
          <w:cols w:num="2" w:equalWidth="0">
            <w:col w:w="7233" w:space="454"/>
            <w:col w:w="2203"/>
          </w:cols>
        </w:sectPr>
      </w:pPr>
    </w:p>
    <w:p>
      <w:pPr>
        <w:pStyle w:val="BodyText"/>
        <w:rPr>
          <w:b/>
          <w:sz w:val="20"/>
        </w:rPr>
      </w:pPr>
    </w:p>
    <w:p>
      <w:pPr>
        <w:pStyle w:val="BodyText"/>
        <w:spacing w:before="2" w:after="1"/>
        <w:rPr>
          <w:b/>
          <w:sz w:val="13"/>
        </w:rPr>
      </w:pPr>
    </w:p>
    <w:p>
      <w:pPr>
        <w:pStyle w:val="BodyText"/>
        <w:spacing w:line="20" w:lineRule="exact"/>
        <w:ind w:left="128"/>
        <w:rPr>
          <w:sz w:val="2"/>
        </w:rPr>
      </w:pPr>
      <w:r>
        <w:rPr>
          <w:sz w:val="2"/>
        </w:rPr>
        <w:pict>
          <v:group style="width:479.1pt;height:.25pt;mso-position-horizontal-relative:char;mso-position-vertical-relative:line" coordorigin="0,0" coordsize="9582,5">
            <v:line style="position:absolute" from="0,2" to="9582,2" stroked="true" strokeweight=".25pt" strokecolor="#009fda">
              <v:stroke dashstyle="solid"/>
            </v:line>
          </v:group>
        </w:pict>
      </w:r>
      <w:r>
        <w:rPr>
          <w:sz w:val="2"/>
        </w:rPr>
      </w:r>
    </w:p>
    <w:p>
      <w:pPr>
        <w:pStyle w:val="BodyText"/>
        <w:spacing w:before="7"/>
        <w:rPr>
          <w:b/>
          <w:sz w:val="26"/>
        </w:rPr>
      </w:pPr>
    </w:p>
    <w:p>
      <w:pPr>
        <w:spacing w:before="100"/>
        <w:ind w:left="130" w:right="0" w:firstLine="0"/>
        <w:jc w:val="left"/>
        <w:rPr>
          <w:b/>
          <w:sz w:val="22"/>
        </w:rPr>
      </w:pPr>
      <w:r>
        <w:rPr/>
        <w:pict>
          <v:line style="position:absolute;mso-position-horizontal-relative:page;mso-position-vertical-relative:paragraph;z-index:-251657216;mso-wrap-distance-left:0;mso-wrap-distance-right:0" from="58.099998pt,21.494095pt" to="540.099986pt,21.494095pt" stroked="true" strokeweight=".25pt" strokecolor="#009fda">
            <v:stroke dashstyle="solid"/>
            <w10:wrap type="topAndBottom"/>
          </v:line>
        </w:pict>
      </w:r>
      <w:r>
        <w:rPr>
          <w:b/>
          <w:color w:val="333333"/>
          <w:sz w:val="22"/>
        </w:rPr>
        <w:t>This is to certify:</w:t>
      </w:r>
    </w:p>
    <w:p>
      <w:pPr>
        <w:spacing w:before="0"/>
        <w:ind w:left="130" w:right="0" w:firstLine="0"/>
        <w:jc w:val="left"/>
        <w:rPr>
          <w:b/>
          <w:sz w:val="18"/>
        </w:rPr>
      </w:pPr>
      <w:r>
        <w:rPr>
          <w:b/>
          <w:sz w:val="18"/>
        </w:rPr>
        <w:t>That the Rudder Bearing Bushing Material, Synthetic</w:t>
      </w:r>
    </w:p>
    <w:p>
      <w:pPr>
        <w:pStyle w:val="BodyText"/>
        <w:rPr>
          <w:b/>
        </w:rPr>
      </w:pPr>
    </w:p>
    <w:p>
      <w:pPr>
        <w:pStyle w:val="BodyText"/>
        <w:ind w:left="130"/>
      </w:pPr>
      <w:r>
        <w:rPr/>
        <w:t>with type</w:t>
      </w:r>
      <w:r>
        <w:rPr>
          <w:spacing w:val="-3"/>
        </w:rPr>
        <w:t> </w:t>
      </w:r>
      <w:r>
        <w:rPr/>
        <w:t>designation(s)</w:t>
      </w:r>
    </w:p>
    <w:p>
      <w:pPr>
        <w:pStyle w:val="Heading2"/>
      </w:pPr>
      <w:r>
        <w:rPr/>
        <w:t>NORDEN 788</w:t>
      </w:r>
      <w:r>
        <w:rPr>
          <w:spacing w:val="-13"/>
        </w:rPr>
        <w:t> </w:t>
      </w:r>
      <w:r>
        <w:rPr/>
        <w:t>MARINE</w:t>
      </w:r>
    </w:p>
    <w:p>
      <w:pPr>
        <w:pStyle w:val="BodyText"/>
        <w:rPr>
          <w:b/>
        </w:rPr>
      </w:pPr>
    </w:p>
    <w:p>
      <w:pPr>
        <w:pStyle w:val="BodyText"/>
        <w:ind w:left="130"/>
      </w:pPr>
      <w:r>
        <w:rPr/>
        <w:t>Issued to</w:t>
      </w:r>
    </w:p>
    <w:p>
      <w:pPr>
        <w:spacing w:before="0"/>
        <w:ind w:left="130" w:right="0" w:firstLine="0"/>
        <w:jc w:val="left"/>
        <w:rPr>
          <w:b/>
          <w:sz w:val="28"/>
        </w:rPr>
      </w:pPr>
      <w:r>
        <w:rPr>
          <w:b/>
          <w:sz w:val="28"/>
        </w:rPr>
        <w:t>Norden Maritime AS</w:t>
      </w:r>
    </w:p>
    <w:p>
      <w:pPr>
        <w:pStyle w:val="Heading1"/>
      </w:pPr>
      <w:r>
        <w:rPr/>
        <w:t>Os</w:t>
      </w:r>
      <w:r>
        <w:rPr>
          <w:b w:val="0"/>
        </w:rPr>
        <w:t>, </w:t>
      </w:r>
      <w:r>
        <w:rPr/>
        <w:t>Norway</w:t>
      </w:r>
    </w:p>
    <w:p>
      <w:pPr>
        <w:pStyle w:val="BodyText"/>
        <w:rPr>
          <w:b/>
          <w:sz w:val="22"/>
        </w:rPr>
      </w:pPr>
    </w:p>
    <w:p>
      <w:pPr>
        <w:pStyle w:val="BodyText"/>
        <w:ind w:left="130"/>
      </w:pPr>
      <w:r>
        <w:rPr/>
        <w:t>is found to comply with</w:t>
      </w:r>
    </w:p>
    <w:p>
      <w:pPr>
        <w:pStyle w:val="Heading2"/>
        <w:ind w:right="887"/>
      </w:pPr>
      <w:r>
        <w:rPr/>
        <w:t>DNV GL class programme DNVGL-CP-0081 – Type approval – Synthetic bearing bushing materials</w:t>
      </w:r>
    </w:p>
    <w:p>
      <w:pPr>
        <w:spacing w:before="0"/>
        <w:ind w:left="130" w:right="0" w:firstLine="0"/>
        <w:jc w:val="left"/>
        <w:rPr>
          <w:b/>
          <w:sz w:val="18"/>
        </w:rPr>
      </w:pPr>
      <w:r>
        <w:rPr>
          <w:b/>
          <w:sz w:val="18"/>
        </w:rPr>
        <w:t>DNV GL rules for classification – Ships</w:t>
      </w:r>
    </w:p>
    <w:p>
      <w:pPr>
        <w:pStyle w:val="BodyText"/>
        <w:rPr>
          <w:b/>
          <w:sz w:val="22"/>
        </w:rPr>
      </w:pPr>
    </w:p>
    <w:p>
      <w:pPr>
        <w:spacing w:before="170"/>
        <w:ind w:left="130" w:right="0" w:firstLine="0"/>
        <w:jc w:val="left"/>
        <w:rPr>
          <w:b/>
          <w:sz w:val="22"/>
        </w:rPr>
      </w:pPr>
      <w:r>
        <w:rPr/>
        <w:pict>
          <v:line style="position:absolute;mso-position-horizontal-relative:page;mso-position-vertical-relative:paragraph;z-index:-251656192;mso-wrap-distance-left:0;mso-wrap-distance-right:0" from="58.099998pt,24.994064pt" to="540.099986pt,24.994064pt" stroked="true" strokeweight=".25pt" strokecolor="#009fda">
            <v:stroke dashstyle="solid"/>
            <w10:wrap type="topAndBottom"/>
          </v:line>
        </w:pict>
      </w:r>
      <w:r>
        <w:rPr>
          <w:b/>
          <w:color w:val="333333"/>
          <w:sz w:val="22"/>
        </w:rPr>
        <w:t>Application :</w:t>
      </w:r>
    </w:p>
    <w:p>
      <w:pPr>
        <w:spacing w:before="0"/>
        <w:ind w:left="130" w:right="165" w:firstLine="0"/>
        <w:jc w:val="left"/>
        <w:rPr>
          <w:b/>
          <w:sz w:val="18"/>
        </w:rPr>
      </w:pPr>
      <w:r>
        <w:rPr>
          <w:b/>
          <w:sz w:val="18"/>
        </w:rPr>
        <w:t>Maximum surface pressure 10 N/mm² for the synthetic rudder bearing bushing material against steel/metal, water/oil/grease lubricated or self-lubricated. The Type Approval is valid only when the installation/application of the product is according to the DNV GL Rules and the Manufacturer's specification.</w:t>
      </w:r>
    </w:p>
    <w:p>
      <w:pPr>
        <w:pStyle w:val="BodyText"/>
        <w:rPr>
          <w:b/>
        </w:rPr>
      </w:pPr>
    </w:p>
    <w:p>
      <w:pPr>
        <w:spacing w:before="0"/>
        <w:ind w:left="130" w:right="387" w:firstLine="0"/>
        <w:jc w:val="left"/>
        <w:rPr>
          <w:b/>
          <w:sz w:val="18"/>
        </w:rPr>
      </w:pPr>
      <w:r>
        <w:rPr>
          <w:b/>
          <w:sz w:val="18"/>
        </w:rPr>
        <w:t>Product(s) approved by this certificate is/are accepted for installation on all vessels classed by DNV GL.</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spacing w:before="170"/>
        <w:ind w:left="130" w:right="0" w:firstLine="0"/>
        <w:jc w:val="left"/>
        <w:rPr>
          <w:sz w:val="18"/>
        </w:rPr>
      </w:pPr>
      <w:r>
        <w:rPr>
          <w:sz w:val="18"/>
        </w:rPr>
        <w:t>This Certificate is valid until </w:t>
      </w:r>
      <w:r>
        <w:rPr>
          <w:b/>
          <w:sz w:val="18"/>
        </w:rPr>
        <w:t>2021-11-08</w:t>
      </w:r>
      <w:r>
        <w:rPr>
          <w:sz w:val="18"/>
        </w:rPr>
        <w:t>.</w:t>
      </w:r>
    </w:p>
    <w:p>
      <w:pPr>
        <w:pStyle w:val="BodyText"/>
        <w:spacing w:before="8"/>
        <w:rPr>
          <w:sz w:val="14"/>
        </w:rPr>
      </w:pPr>
    </w:p>
    <w:p>
      <w:pPr>
        <w:spacing w:after="0"/>
        <w:rPr>
          <w:sz w:val="14"/>
        </w:rPr>
        <w:sectPr>
          <w:type w:val="continuous"/>
          <w:pgSz w:w="11910" w:h="16840"/>
          <w:pgMar w:top="1360" w:bottom="280" w:left="1060" w:right="960"/>
        </w:sectPr>
      </w:pPr>
    </w:p>
    <w:p>
      <w:pPr>
        <w:spacing w:before="100"/>
        <w:ind w:left="130" w:right="0" w:firstLine="0"/>
        <w:jc w:val="left"/>
        <w:rPr>
          <w:b/>
          <w:sz w:val="18"/>
        </w:rPr>
      </w:pPr>
      <w:r>
        <w:rPr>
          <w:sz w:val="18"/>
        </w:rPr>
        <w:t>Issued at </w:t>
      </w:r>
      <w:r>
        <w:rPr>
          <w:b/>
          <w:sz w:val="18"/>
        </w:rPr>
        <w:t>Høvik </w:t>
      </w:r>
      <w:r>
        <w:rPr>
          <w:sz w:val="18"/>
        </w:rPr>
        <w:t>on </w:t>
      </w:r>
      <w:r>
        <w:rPr>
          <w:b/>
          <w:sz w:val="18"/>
        </w:rPr>
        <w:t>2016-11-09</w:t>
      </w:r>
    </w:p>
    <w:p>
      <w:pPr>
        <w:pStyle w:val="BodyText"/>
        <w:spacing w:before="9"/>
        <w:rPr>
          <w:b/>
          <w:sz w:val="24"/>
        </w:rPr>
      </w:pPr>
    </w:p>
    <w:p>
      <w:pPr>
        <w:spacing w:before="0"/>
        <w:ind w:left="130" w:right="0" w:firstLine="0"/>
        <w:jc w:val="left"/>
        <w:rPr>
          <w:b/>
          <w:sz w:val="18"/>
        </w:rPr>
      </w:pPr>
      <w:r>
        <w:rPr>
          <w:sz w:val="18"/>
        </w:rPr>
        <w:t>DNV GL local station: </w:t>
      </w:r>
      <w:r>
        <w:rPr>
          <w:b/>
          <w:sz w:val="18"/>
        </w:rPr>
        <w:t>Bergen</w:t>
      </w:r>
    </w:p>
    <w:p>
      <w:pPr>
        <w:pStyle w:val="BodyText"/>
        <w:rPr>
          <w:b/>
        </w:rPr>
      </w:pPr>
    </w:p>
    <w:p>
      <w:pPr>
        <w:spacing w:before="0"/>
        <w:ind w:left="130" w:right="0" w:firstLine="0"/>
        <w:jc w:val="left"/>
        <w:rPr>
          <w:b/>
          <w:sz w:val="18"/>
        </w:rPr>
      </w:pPr>
      <w:r>
        <w:rPr>
          <w:sz w:val="18"/>
        </w:rPr>
        <w:t>Approval Engineer: </w:t>
      </w:r>
      <w:r>
        <w:rPr>
          <w:b/>
          <w:sz w:val="18"/>
        </w:rPr>
        <w:t>Gisle Hersvik</w:t>
      </w:r>
    </w:p>
    <w:p>
      <w:pPr>
        <w:pStyle w:val="BodyText"/>
        <w:spacing w:before="11"/>
        <w:rPr>
          <w:b/>
          <w:sz w:val="32"/>
        </w:rPr>
      </w:pPr>
      <w:r>
        <w:rPr/>
        <w:br w:type="column"/>
      </w:r>
      <w:r>
        <w:rPr>
          <w:b/>
          <w:sz w:val="32"/>
        </w:rPr>
      </w:r>
    </w:p>
    <w:p>
      <w:pPr>
        <w:spacing w:before="1"/>
        <w:ind w:left="130" w:right="1669" w:firstLine="0"/>
        <w:jc w:val="center"/>
        <w:rPr>
          <w:b/>
          <w:sz w:val="18"/>
        </w:rPr>
      </w:pPr>
      <w:r>
        <w:rPr>
          <w:sz w:val="18"/>
        </w:rPr>
        <w:t>for </w:t>
      </w:r>
      <w:r>
        <w:rPr>
          <w:b/>
          <w:sz w:val="18"/>
        </w:rPr>
        <w:t>DNV GL</w:t>
      </w:r>
    </w:p>
    <w:p>
      <w:pPr>
        <w:pStyle w:val="BodyText"/>
        <w:rPr>
          <w:b/>
          <w:sz w:val="20"/>
        </w:rPr>
      </w:pPr>
    </w:p>
    <w:p>
      <w:pPr>
        <w:pStyle w:val="BodyText"/>
        <w:rPr>
          <w:b/>
          <w:sz w:val="20"/>
        </w:rPr>
      </w:pPr>
    </w:p>
    <w:p>
      <w:pPr>
        <w:pStyle w:val="BodyText"/>
        <w:rPr>
          <w:b/>
          <w:sz w:val="19"/>
        </w:rPr>
      </w:pPr>
    </w:p>
    <w:p>
      <w:pPr>
        <w:pStyle w:val="BodyText"/>
        <w:spacing w:line="20" w:lineRule="exact"/>
        <w:ind w:left="-1224"/>
        <w:rPr>
          <w:sz w:val="2"/>
        </w:rPr>
      </w:pPr>
      <w:r>
        <w:rPr>
          <w:sz w:val="2"/>
        </w:rPr>
        <w:pict>
          <v:group style="width:214.5pt;height:.25pt;mso-position-horizontal-relative:char;mso-position-vertical-relative:line" coordorigin="0,0" coordsize="4290,5">
            <v:line style="position:absolute" from="0,2" to="4290,2" stroked="true" strokeweight=".25pt" strokecolor="#000000">
              <v:stroke dashstyle="dash"/>
            </v:line>
          </v:group>
        </w:pict>
      </w:r>
      <w:r>
        <w:rPr>
          <w:sz w:val="2"/>
        </w:rPr>
      </w:r>
    </w:p>
    <w:p>
      <w:pPr>
        <w:pStyle w:val="Heading2"/>
        <w:spacing w:line="302" w:lineRule="auto" w:before="42"/>
        <w:ind w:right="1670"/>
        <w:jc w:val="center"/>
      </w:pPr>
      <w:r>
        <w:rPr/>
        <w:t>Martin Strande Head of Section</w:t>
      </w:r>
    </w:p>
    <w:p>
      <w:pPr>
        <w:spacing w:after="0" w:line="302" w:lineRule="auto"/>
        <w:jc w:val="center"/>
        <w:sectPr>
          <w:type w:val="continuous"/>
          <w:pgSz w:w="11910" w:h="16840"/>
          <w:pgMar w:top="1360" w:bottom="280" w:left="1060" w:right="960"/>
          <w:cols w:num="2" w:equalWidth="0">
            <w:col w:w="3294" w:space="3202"/>
            <w:col w:w="3394"/>
          </w:cols>
        </w:sectPr>
      </w:pPr>
    </w:p>
    <w:p>
      <w:pPr>
        <w:pStyle w:val="BodyText"/>
        <w:spacing w:before="8"/>
        <w:rPr>
          <w:b/>
          <w:sz w:val="9"/>
        </w:rPr>
      </w:pPr>
    </w:p>
    <w:p>
      <w:pPr>
        <w:pStyle w:val="BodyText"/>
        <w:spacing w:line="20" w:lineRule="exact"/>
        <w:ind w:left="121"/>
        <w:rPr>
          <w:sz w:val="2"/>
        </w:rPr>
      </w:pPr>
      <w:r>
        <w:rPr>
          <w:sz w:val="2"/>
        </w:rPr>
        <w:pict>
          <v:group style="width:143.5pt;height:1pt;mso-position-horizontal-relative:char;mso-position-vertical-relative:line" coordorigin="0,0" coordsize="2870,20">
            <v:line style="position:absolute" from="0,10" to="2870,10" stroked="true" strokeweight="1pt" strokecolor="#000000">
              <v:stroke dashstyle="solid"/>
            </v:line>
          </v:group>
        </w:pict>
      </w:r>
      <w:r>
        <w:rPr>
          <w:sz w:val="2"/>
        </w:rPr>
      </w:r>
    </w:p>
    <w:p>
      <w:pPr>
        <w:spacing w:before="80"/>
        <w:ind w:left="130" w:right="388" w:firstLine="0"/>
        <w:jc w:val="left"/>
        <w:rPr>
          <w:sz w:val="13"/>
        </w:rPr>
      </w:pPr>
      <w:bookmarkStart w:name="_bookmark1" w:id="2"/>
      <w:bookmarkEnd w:id="2"/>
      <w:r>
        <w:rPr/>
      </w:r>
      <w:r>
        <w:rPr>
          <w:sz w:val="13"/>
        </w:rPr>
        <w:t>This Certificate is subject to terms and conditions overleaf. Any significant change in design or construction may render this Certificate invalid. The validity date relates to the Type Approval Certificate and not to the approval of equipment/systems installed.</w:t>
      </w:r>
    </w:p>
    <w:p>
      <w:pPr>
        <w:pStyle w:val="BodyText"/>
        <w:rPr>
          <w:sz w:val="20"/>
        </w:rPr>
      </w:pPr>
    </w:p>
    <w:p>
      <w:pPr>
        <w:pStyle w:val="BodyText"/>
        <w:spacing w:before="4"/>
        <w:rPr>
          <w:sz w:val="28"/>
        </w:rPr>
      </w:pPr>
      <w:r>
        <w:rPr/>
        <w:pict>
          <v:line style="position:absolute;mso-position-horizontal-relative:page;mso-position-vertical-relative:paragraph;z-index:-251653120;mso-wrap-distance-left:0;mso-wrap-distance-right:0" from="59.549999pt,19.33729pt" to="538.649975pt,19.33729pt" stroked="true" strokeweight=".25pt" strokecolor="#009fda">
            <v:stroke dashstyle="solid"/>
            <w10:wrap type="topAndBottom"/>
          </v:line>
        </w:pict>
      </w:r>
    </w:p>
    <w:p>
      <w:pPr>
        <w:tabs>
          <w:tab w:pos="2525" w:val="left" w:leader="none"/>
          <w:tab w:pos="6273" w:val="left" w:leader="none"/>
          <w:tab w:pos="8971" w:val="left" w:leader="none"/>
        </w:tabs>
        <w:spacing w:line="130" w:lineRule="exact" w:before="0"/>
        <w:ind w:left="130" w:right="0" w:firstLine="0"/>
        <w:jc w:val="left"/>
        <w:rPr>
          <w:sz w:val="13"/>
        </w:rPr>
      </w:pPr>
      <w:r>
        <w:rPr>
          <w:sz w:val="13"/>
        </w:rPr>
        <w:t>Form code:</w:t>
      </w:r>
      <w:r>
        <w:rPr>
          <w:spacing w:val="-6"/>
          <w:sz w:val="13"/>
        </w:rPr>
        <w:t> </w:t>
      </w:r>
      <w:r>
        <w:rPr>
          <w:sz w:val="13"/>
        </w:rPr>
        <w:t>TA</w:t>
      </w:r>
      <w:r>
        <w:rPr>
          <w:spacing w:val="-2"/>
          <w:sz w:val="13"/>
        </w:rPr>
        <w:t> </w:t>
      </w:r>
      <w:r>
        <w:rPr>
          <w:sz w:val="13"/>
        </w:rPr>
        <w:t>1411a</w:t>
        <w:tab/>
        <w:t>Revision:</w:t>
      </w:r>
      <w:r>
        <w:rPr>
          <w:spacing w:val="-5"/>
          <w:sz w:val="13"/>
        </w:rPr>
        <w:t> </w:t>
      </w:r>
      <w:r>
        <w:rPr>
          <w:sz w:val="13"/>
        </w:rPr>
        <w:t>2015-05</w:t>
        <w:tab/>
      </w:r>
      <w:hyperlink r:id="rId7">
        <w:r>
          <w:rPr>
            <w:sz w:val="13"/>
          </w:rPr>
          <w:t>www.dnvgl.com</w:t>
        </w:r>
      </w:hyperlink>
      <w:r>
        <w:rPr>
          <w:sz w:val="13"/>
        </w:rPr>
        <w:tab/>
        <w:t>Page 1 of</w:t>
      </w:r>
      <w:r>
        <w:rPr>
          <w:spacing w:val="-1"/>
          <w:sz w:val="13"/>
        </w:rPr>
        <w:t> </w:t>
      </w:r>
      <w:r>
        <w:rPr>
          <w:sz w:val="13"/>
        </w:rPr>
        <w:t>3</w:t>
      </w:r>
    </w:p>
    <w:p>
      <w:pPr>
        <w:spacing w:before="2"/>
        <w:ind w:left="130" w:right="0" w:firstLine="0"/>
        <w:jc w:val="left"/>
        <w:rPr>
          <w:sz w:val="13"/>
        </w:rPr>
      </w:pPr>
      <w:r>
        <w:rPr>
          <w:sz w:val="13"/>
        </w:rPr>
        <w:t>© DNV GL 2014. DNV GL and the Horizon Graphic are trademarks of DNV GL AS.</w:t>
      </w:r>
    </w:p>
    <w:p>
      <w:pPr>
        <w:spacing w:after="0"/>
        <w:jc w:val="left"/>
        <w:rPr>
          <w:sz w:val="13"/>
        </w:rPr>
        <w:sectPr>
          <w:type w:val="continuous"/>
          <w:pgSz w:w="11910" w:h="16840"/>
          <w:pgMar w:top="1360" w:bottom="280" w:left="1060" w:right="960"/>
        </w:sectPr>
      </w:pPr>
    </w:p>
    <w:p>
      <w:pPr>
        <w:pStyle w:val="BodyText"/>
        <w:rPr>
          <w:sz w:val="20"/>
        </w:rPr>
      </w:pPr>
    </w:p>
    <w:p>
      <w:pPr>
        <w:pStyle w:val="BodyText"/>
        <w:spacing w:before="9"/>
        <w:rPr>
          <w:sz w:val="27"/>
        </w:rPr>
      </w:pPr>
    </w:p>
    <w:p>
      <w:pPr>
        <w:pStyle w:val="Heading1"/>
        <w:spacing w:before="100"/>
      </w:pPr>
      <w:r>
        <w:rPr/>
        <w:t>Product description</w:t>
      </w:r>
    </w:p>
    <w:p>
      <w:pPr>
        <w:pStyle w:val="BodyText"/>
        <w:spacing w:before="219"/>
        <w:ind w:left="130"/>
      </w:pPr>
      <w:r>
        <w:rPr>
          <w:b/>
        </w:rPr>
        <w:t>NORDEN 788 MARINE</w:t>
      </w:r>
      <w:r>
        <w:rPr/>
        <w:t>; A fibre-reinforced thermosetting resin material with additional lubricant.</w:t>
      </w:r>
    </w:p>
    <w:p>
      <w:pPr>
        <w:pStyle w:val="BodyText"/>
      </w:pPr>
    </w:p>
    <w:p>
      <w:pPr>
        <w:pStyle w:val="Heading1"/>
      </w:pPr>
      <w:r>
        <w:rPr/>
        <w:t>Place of Manufacture</w:t>
      </w:r>
    </w:p>
    <w:p>
      <w:pPr>
        <w:pStyle w:val="BodyText"/>
        <w:spacing w:before="219"/>
        <w:ind w:left="130"/>
      </w:pPr>
      <w:r>
        <w:rPr/>
        <w:t>Norden Maritime AS, Industriveien 13, N-5210, Os, Norway</w:t>
      </w:r>
    </w:p>
    <w:p>
      <w:pPr>
        <w:pStyle w:val="BodyText"/>
        <w:spacing w:before="12"/>
        <w:rPr>
          <w:sz w:val="17"/>
        </w:rPr>
      </w:pPr>
    </w:p>
    <w:p>
      <w:pPr>
        <w:pStyle w:val="Heading1"/>
      </w:pPr>
      <w:r>
        <w:rPr/>
        <w:t>Application/Limitation</w:t>
      </w:r>
    </w:p>
    <w:p>
      <w:pPr>
        <w:pStyle w:val="BodyText"/>
        <w:tabs>
          <w:tab w:pos="2159" w:val="left" w:leader="none"/>
        </w:tabs>
        <w:spacing w:before="219"/>
        <w:ind w:right="5448"/>
        <w:jc w:val="right"/>
      </w:pPr>
      <w:r>
        <w:rPr/>
        <w:t>Fields</w:t>
      </w:r>
      <w:r>
        <w:rPr>
          <w:spacing w:val="-5"/>
        </w:rPr>
        <w:t> </w:t>
      </w:r>
      <w:r>
        <w:rPr/>
        <w:t>of</w:t>
      </w:r>
      <w:r>
        <w:rPr>
          <w:spacing w:val="-5"/>
        </w:rPr>
        <w:t> </w:t>
      </w:r>
      <w:r>
        <w:rPr/>
        <w:t>Application:</w:t>
        <w:tab/>
        <w:t>- Rudder Neck</w:t>
      </w:r>
      <w:r>
        <w:rPr>
          <w:spacing w:val="-13"/>
        </w:rPr>
        <w:t> </w:t>
      </w:r>
      <w:r>
        <w:rPr/>
        <w:t>Bearings</w:t>
      </w:r>
    </w:p>
    <w:p>
      <w:pPr>
        <w:pStyle w:val="ListParagraph"/>
        <w:numPr>
          <w:ilvl w:val="0"/>
          <w:numId w:val="1"/>
        </w:numPr>
        <w:tabs>
          <w:tab w:pos="146" w:val="left" w:leader="none"/>
        </w:tabs>
        <w:spacing w:line="240" w:lineRule="auto" w:before="0" w:after="0"/>
        <w:ind w:left="2436" w:right="5391" w:hanging="2437"/>
        <w:jc w:val="right"/>
        <w:rPr>
          <w:sz w:val="18"/>
        </w:rPr>
      </w:pPr>
      <w:r>
        <w:rPr>
          <w:sz w:val="18"/>
        </w:rPr>
        <w:t>Rudder Pintle</w:t>
      </w:r>
      <w:r>
        <w:rPr>
          <w:spacing w:val="-13"/>
          <w:sz w:val="18"/>
        </w:rPr>
        <w:t> </w:t>
      </w:r>
      <w:r>
        <w:rPr>
          <w:sz w:val="18"/>
        </w:rPr>
        <w:t>Bearings</w:t>
      </w:r>
    </w:p>
    <w:p>
      <w:pPr>
        <w:pStyle w:val="ListParagraph"/>
        <w:numPr>
          <w:ilvl w:val="0"/>
          <w:numId w:val="1"/>
        </w:numPr>
        <w:tabs>
          <w:tab w:pos="2437" w:val="left" w:leader="none"/>
        </w:tabs>
        <w:spacing w:line="240" w:lineRule="auto" w:before="0" w:after="0"/>
        <w:ind w:left="2436" w:right="0" w:hanging="147"/>
        <w:jc w:val="left"/>
        <w:rPr>
          <w:sz w:val="18"/>
        </w:rPr>
      </w:pPr>
      <w:r>
        <w:rPr>
          <w:sz w:val="18"/>
        </w:rPr>
        <w:t>Rudder</w:t>
      </w:r>
      <w:r>
        <w:rPr>
          <w:spacing w:val="-1"/>
          <w:sz w:val="18"/>
        </w:rPr>
        <w:t> </w:t>
      </w:r>
      <w:r>
        <w:rPr>
          <w:sz w:val="18"/>
        </w:rPr>
        <w:t>Carriers</w:t>
      </w:r>
    </w:p>
    <w:p>
      <w:pPr>
        <w:pStyle w:val="ListParagraph"/>
        <w:numPr>
          <w:ilvl w:val="0"/>
          <w:numId w:val="1"/>
        </w:numPr>
        <w:tabs>
          <w:tab w:pos="2437" w:val="left" w:leader="none"/>
        </w:tabs>
        <w:spacing w:line="240" w:lineRule="auto" w:before="0" w:after="0"/>
        <w:ind w:left="2436" w:right="0" w:hanging="147"/>
        <w:jc w:val="left"/>
        <w:rPr>
          <w:sz w:val="18"/>
        </w:rPr>
      </w:pPr>
      <w:r>
        <w:rPr>
          <w:sz w:val="18"/>
        </w:rPr>
        <w:t>Fin</w:t>
      </w:r>
      <w:r>
        <w:rPr>
          <w:spacing w:val="-1"/>
          <w:sz w:val="18"/>
        </w:rPr>
        <w:t> </w:t>
      </w:r>
      <w:r>
        <w:rPr>
          <w:sz w:val="18"/>
        </w:rPr>
        <w:t>stablilizers</w:t>
      </w:r>
    </w:p>
    <w:p>
      <w:pPr>
        <w:pStyle w:val="BodyText"/>
        <w:spacing w:before="11"/>
        <w:rPr>
          <w:sz w:val="17"/>
        </w:rPr>
      </w:pPr>
    </w:p>
    <w:p>
      <w:pPr>
        <w:pStyle w:val="BodyText"/>
        <w:tabs>
          <w:tab w:pos="2290" w:val="left" w:leader="none"/>
        </w:tabs>
        <w:spacing w:before="1"/>
        <w:ind w:left="130"/>
      </w:pPr>
      <w:r>
        <w:rPr/>
        <w:t>Lubricants;</w:t>
        <w:tab/>
        <w:t>- Water, grease,</w:t>
      </w:r>
      <w:r>
        <w:rPr>
          <w:spacing w:val="-1"/>
        </w:rPr>
        <w:t> </w:t>
      </w:r>
      <w:r>
        <w:rPr/>
        <w:t>oil</w:t>
      </w:r>
    </w:p>
    <w:p>
      <w:pPr>
        <w:pStyle w:val="ListParagraph"/>
        <w:numPr>
          <w:ilvl w:val="0"/>
          <w:numId w:val="1"/>
        </w:numPr>
        <w:tabs>
          <w:tab w:pos="2437" w:val="left" w:leader="none"/>
        </w:tabs>
        <w:spacing w:line="240" w:lineRule="auto" w:before="0" w:after="0"/>
        <w:ind w:left="2436" w:right="0" w:hanging="147"/>
        <w:jc w:val="left"/>
        <w:rPr>
          <w:sz w:val="18"/>
        </w:rPr>
      </w:pPr>
      <w:r>
        <w:rPr>
          <w:sz w:val="18"/>
        </w:rPr>
        <w:t>Self-lubrication (dry running)</w:t>
      </w:r>
    </w:p>
    <w:p>
      <w:pPr>
        <w:pStyle w:val="BodyText"/>
        <w:tabs>
          <w:tab w:pos="2290" w:val="left" w:leader="none"/>
        </w:tabs>
        <w:spacing w:line="430" w:lineRule="atLeast" w:before="7"/>
        <w:ind w:left="130" w:right="3010"/>
      </w:pPr>
      <w:r>
        <w:rPr/>
        <w:t>Surface</w:t>
      </w:r>
      <w:r>
        <w:rPr>
          <w:spacing w:val="-3"/>
        </w:rPr>
        <w:t> </w:t>
      </w:r>
      <w:r>
        <w:rPr/>
        <w:t>Pressure;</w:t>
        <w:tab/>
        <w:t>- 10.0 MPa, maximum (water- and self-lubricated) Installation;</w:t>
        <w:tab/>
        <w:t>- Press</w:t>
      </w:r>
      <w:r>
        <w:rPr>
          <w:spacing w:val="-1"/>
        </w:rPr>
        <w:t> </w:t>
      </w:r>
      <w:r>
        <w:rPr/>
        <w:t>fit</w:t>
      </w:r>
    </w:p>
    <w:p>
      <w:pPr>
        <w:pStyle w:val="ListParagraph"/>
        <w:numPr>
          <w:ilvl w:val="0"/>
          <w:numId w:val="1"/>
        </w:numPr>
        <w:tabs>
          <w:tab w:pos="2437" w:val="left" w:leader="none"/>
        </w:tabs>
        <w:spacing w:line="240" w:lineRule="auto" w:before="8" w:after="0"/>
        <w:ind w:left="2436" w:right="0" w:hanging="147"/>
        <w:jc w:val="left"/>
        <w:rPr>
          <w:sz w:val="18"/>
        </w:rPr>
      </w:pPr>
      <w:r>
        <w:rPr>
          <w:sz w:val="18"/>
        </w:rPr>
        <w:t>Freeze</w:t>
      </w:r>
      <w:r>
        <w:rPr>
          <w:spacing w:val="-1"/>
          <w:sz w:val="18"/>
        </w:rPr>
        <w:t> </w:t>
      </w:r>
      <w:r>
        <w:rPr>
          <w:sz w:val="18"/>
        </w:rPr>
        <w:t>fit</w:t>
      </w:r>
    </w:p>
    <w:p>
      <w:pPr>
        <w:pStyle w:val="ListParagraph"/>
        <w:numPr>
          <w:ilvl w:val="0"/>
          <w:numId w:val="1"/>
        </w:numPr>
        <w:tabs>
          <w:tab w:pos="2437" w:val="left" w:leader="none"/>
        </w:tabs>
        <w:spacing w:line="240" w:lineRule="auto" w:before="0" w:after="0"/>
        <w:ind w:left="2436" w:right="0" w:hanging="147"/>
        <w:jc w:val="left"/>
        <w:rPr>
          <w:sz w:val="18"/>
        </w:rPr>
      </w:pPr>
      <w:r>
        <w:rPr>
          <w:sz w:val="18"/>
        </w:rPr>
        <w:t>Adhesive</w:t>
      </w:r>
      <w:r>
        <w:rPr>
          <w:spacing w:val="-1"/>
          <w:sz w:val="18"/>
        </w:rPr>
        <w:t> </w:t>
      </w:r>
      <w:r>
        <w:rPr>
          <w:sz w:val="18"/>
        </w:rPr>
        <w:t>bonded</w:t>
      </w:r>
    </w:p>
    <w:p>
      <w:pPr>
        <w:pStyle w:val="BodyText"/>
      </w:pPr>
    </w:p>
    <w:p>
      <w:pPr>
        <w:pStyle w:val="BodyText"/>
        <w:tabs>
          <w:tab w:pos="2290" w:val="left" w:leader="none"/>
        </w:tabs>
        <w:ind w:left="130"/>
      </w:pPr>
      <w:r>
        <w:rPr/>
        <w:t>Dimensions;</w:t>
        <w:tab/>
        <w:t>- As per DNV GL Rules and Manufacturer's</w:t>
      </w:r>
      <w:r>
        <w:rPr>
          <w:spacing w:val="-6"/>
        </w:rPr>
        <w:t> </w:t>
      </w:r>
      <w:r>
        <w:rPr/>
        <w:t>specification.</w:t>
      </w:r>
    </w:p>
    <w:p>
      <w:pPr>
        <w:pStyle w:val="BodyText"/>
      </w:pPr>
    </w:p>
    <w:p>
      <w:pPr>
        <w:pStyle w:val="BodyText"/>
        <w:ind w:left="131" w:right="319"/>
      </w:pPr>
      <w:r>
        <w:rPr/>
        <w:t>The maximum surface pressure of 10 N/mm² will be subject to evaluation w.r.t. service experience etc. in connection with renewal of the certificate.</w:t>
      </w:r>
    </w:p>
    <w:p>
      <w:pPr>
        <w:pStyle w:val="BodyText"/>
      </w:pPr>
    </w:p>
    <w:p>
      <w:pPr>
        <w:pStyle w:val="BodyText"/>
        <w:ind w:left="130" w:right="819"/>
      </w:pPr>
      <w:r>
        <w:rPr/>
        <w:t>The Type Approval is valid only when the installation/application of the product is according to the specified DNV GL Rules and the Manufacturer's specification.</w:t>
      </w:r>
    </w:p>
    <w:p>
      <w:pPr>
        <w:pStyle w:val="BodyText"/>
      </w:pPr>
    </w:p>
    <w:p>
      <w:pPr>
        <w:pStyle w:val="BodyText"/>
        <w:ind w:left="131" w:right="446"/>
      </w:pPr>
      <w:r>
        <w:rPr/>
        <w:t>In accordance with DNV GL Rules for Ships, Pt.3 Ch.14, the bushing shall be effectively secured to the bearing.</w:t>
      </w:r>
    </w:p>
    <w:p>
      <w:pPr>
        <w:pStyle w:val="BodyText"/>
        <w:ind w:left="130" w:right="365"/>
      </w:pPr>
      <w:r>
        <w:rPr/>
        <w:t>Bushing fitted by means of shrink fitting alone is not considered effectively secured. Additional physical stoppers need to be arranged to prevent the bushing from accidentally rotating or shifting in vertical direction.</w:t>
      </w:r>
    </w:p>
    <w:p>
      <w:pPr>
        <w:pStyle w:val="BodyText"/>
      </w:pPr>
    </w:p>
    <w:p>
      <w:pPr>
        <w:pStyle w:val="BodyText"/>
        <w:ind w:left="130"/>
      </w:pPr>
      <w:r>
        <w:rPr/>
        <w:t>Any significant changes in design and/or quality of the material will render the approval invalid.</w:t>
      </w:r>
    </w:p>
    <w:p>
      <w:pPr>
        <w:pStyle w:val="BodyText"/>
      </w:pPr>
    </w:p>
    <w:p>
      <w:pPr>
        <w:pStyle w:val="Heading1"/>
      </w:pPr>
      <w:r>
        <w:rPr/>
        <w:t>Type Approval documentation</w:t>
      </w:r>
    </w:p>
    <w:p>
      <w:pPr>
        <w:pStyle w:val="BodyText"/>
        <w:spacing w:before="218"/>
        <w:ind w:left="130"/>
      </w:pPr>
      <w:r>
        <w:rPr>
          <w:color w:val="FF0000"/>
        </w:rPr>
        <w:t>1.</w:t>
      </w:r>
    </w:p>
    <w:p>
      <w:pPr>
        <w:pStyle w:val="BodyText"/>
        <w:ind w:left="130"/>
      </w:pPr>
      <w:r>
        <w:rPr>
          <w:color w:val="FF0000"/>
        </w:rPr>
        <w:t>2.</w:t>
      </w:r>
    </w:p>
    <w:p>
      <w:pPr>
        <w:pStyle w:val="BodyText"/>
        <w:ind w:left="130"/>
      </w:pPr>
      <w:r>
        <w:rPr>
          <w:color w:val="FF0000"/>
        </w:rPr>
        <w:t>3.</w:t>
      </w:r>
    </w:p>
    <w:p>
      <w:pPr>
        <w:pStyle w:val="BodyText"/>
        <w:ind w:left="130"/>
      </w:pPr>
      <w:r>
        <w:rPr>
          <w:color w:val="FF0000"/>
        </w:rPr>
        <w:t>4.</w:t>
      </w:r>
    </w:p>
    <w:p>
      <w:pPr>
        <w:pStyle w:val="BodyText"/>
        <w:ind w:left="130"/>
      </w:pPr>
      <w:r>
        <w:rPr>
          <w:color w:val="FF0000"/>
        </w:rPr>
        <w:t>5.</w:t>
      </w:r>
    </w:p>
    <w:p>
      <w:pPr>
        <w:pStyle w:val="BodyText"/>
        <w:ind w:left="130"/>
      </w:pPr>
      <w:r>
        <w:rPr>
          <w:color w:val="FF0000"/>
        </w:rPr>
        <w:t>6.</w:t>
      </w:r>
    </w:p>
    <w:p>
      <w:pPr>
        <w:pStyle w:val="BodyText"/>
        <w:ind w:left="130"/>
      </w:pPr>
      <w:r>
        <w:rPr>
          <w:color w:val="FF0000"/>
        </w:rPr>
        <w:t>7.</w:t>
      </w:r>
    </w:p>
    <w:p>
      <w:pPr>
        <w:pStyle w:val="BodyText"/>
        <w:ind w:left="130"/>
      </w:pPr>
      <w:r>
        <w:rPr>
          <w:color w:val="FF0000"/>
        </w:rPr>
        <w:t>8.</w:t>
      </w:r>
    </w:p>
    <w:p>
      <w:pPr>
        <w:pStyle w:val="BodyText"/>
      </w:pPr>
    </w:p>
    <w:p>
      <w:pPr>
        <w:pStyle w:val="Heading1"/>
        <w:spacing w:before="1"/>
      </w:pPr>
      <w:r>
        <w:rPr/>
        <w:t>Tests carried out</w:t>
      </w:r>
    </w:p>
    <w:p>
      <w:pPr>
        <w:spacing w:before="218"/>
        <w:ind w:left="130" w:right="0" w:firstLine="0"/>
        <w:jc w:val="left"/>
        <w:rPr>
          <w:sz w:val="18"/>
        </w:rPr>
      </w:pPr>
      <w:r>
        <w:rPr>
          <w:sz w:val="18"/>
        </w:rPr>
        <w:t>Type Testing has been carried out in accordance with </w:t>
      </w:r>
      <w:r>
        <w:rPr>
          <w:b/>
          <w:sz w:val="18"/>
        </w:rPr>
        <w:t>Type Approval documentation</w:t>
      </w:r>
      <w:r>
        <w:rPr>
          <w:sz w:val="18"/>
        </w:rPr>
        <w:t>.</w:t>
      </w:r>
    </w:p>
    <w:p>
      <w:pPr>
        <w:pStyle w:val="BodyText"/>
      </w:pPr>
    </w:p>
    <w:p>
      <w:pPr>
        <w:pStyle w:val="Heading1"/>
      </w:pPr>
      <w:r>
        <w:rPr/>
        <w:t>Marking of product</w:t>
      </w:r>
    </w:p>
    <w:p>
      <w:pPr>
        <w:spacing w:after="0"/>
        <w:sectPr>
          <w:headerReference w:type="default" r:id="rId8"/>
          <w:footerReference w:type="default" r:id="rId9"/>
          <w:pgSz w:w="11910" w:h="16840"/>
          <w:pgMar w:header="774" w:footer="612" w:top="2160" w:bottom="800" w:left="1060" w:right="960"/>
          <w:pgNumType w:start="2"/>
        </w:sectPr>
      </w:pPr>
    </w:p>
    <w:p>
      <w:pPr>
        <w:pStyle w:val="BodyText"/>
        <w:rPr>
          <w:b/>
          <w:sz w:val="20"/>
        </w:rPr>
      </w:pPr>
    </w:p>
    <w:p>
      <w:pPr>
        <w:pStyle w:val="BodyText"/>
        <w:rPr>
          <w:b/>
          <w:sz w:val="20"/>
        </w:rPr>
      </w:pPr>
    </w:p>
    <w:p>
      <w:pPr>
        <w:pStyle w:val="BodyText"/>
        <w:spacing w:before="9"/>
        <w:rPr>
          <w:b/>
          <w:sz w:val="23"/>
        </w:rPr>
      </w:pPr>
    </w:p>
    <w:p>
      <w:pPr>
        <w:spacing w:before="100"/>
        <w:ind w:left="130" w:right="1117" w:firstLine="0"/>
        <w:jc w:val="left"/>
        <w:rPr>
          <w:sz w:val="18"/>
        </w:rPr>
      </w:pPr>
      <w:r>
        <w:rPr>
          <w:sz w:val="18"/>
        </w:rPr>
        <w:t>Product shall be marked with </w:t>
      </w:r>
      <w:r>
        <w:rPr>
          <w:i/>
          <w:sz w:val="18"/>
        </w:rPr>
        <w:t>manufacturer’s name</w:t>
      </w:r>
      <w:r>
        <w:rPr>
          <w:sz w:val="18"/>
        </w:rPr>
        <w:t>; </w:t>
      </w:r>
      <w:r>
        <w:rPr>
          <w:b/>
          <w:sz w:val="18"/>
        </w:rPr>
        <w:t>Norden Maritime AS, Os, Norway</w:t>
      </w:r>
      <w:r>
        <w:rPr>
          <w:sz w:val="18"/>
        </w:rPr>
        <w:t>, </w:t>
      </w:r>
      <w:r>
        <w:rPr>
          <w:i/>
          <w:sz w:val="18"/>
        </w:rPr>
        <w:t>type </w:t>
      </w:r>
      <w:r>
        <w:rPr>
          <w:i/>
          <w:sz w:val="18"/>
        </w:rPr>
        <w:t>designation</w:t>
      </w:r>
      <w:r>
        <w:rPr>
          <w:sz w:val="18"/>
        </w:rPr>
        <w:t>; </w:t>
      </w:r>
      <w:r>
        <w:rPr>
          <w:b/>
          <w:sz w:val="18"/>
        </w:rPr>
        <w:t>NORDEN 788 MARINE</w:t>
      </w:r>
      <w:r>
        <w:rPr>
          <w:sz w:val="18"/>
        </w:rPr>
        <w:t>, </w:t>
      </w:r>
      <w:r>
        <w:rPr>
          <w:i/>
          <w:sz w:val="18"/>
        </w:rPr>
        <w:t>item number </w:t>
      </w:r>
      <w:r>
        <w:rPr>
          <w:sz w:val="18"/>
        </w:rPr>
        <w:t>and </w:t>
      </w:r>
      <w:r>
        <w:rPr>
          <w:i/>
          <w:sz w:val="18"/>
        </w:rPr>
        <w:t>dimensions</w:t>
      </w:r>
      <w:r>
        <w:rPr>
          <w:sz w:val="18"/>
        </w:rPr>
        <w:t>.</w:t>
      </w:r>
    </w:p>
    <w:p>
      <w:pPr>
        <w:pStyle w:val="BodyText"/>
      </w:pPr>
    </w:p>
    <w:p>
      <w:pPr>
        <w:pStyle w:val="BodyText"/>
        <w:ind w:left="130" w:right="646"/>
      </w:pPr>
      <w:r>
        <w:rPr/>
        <w:t>The marking is to be carried out in such a way that it is visible, legible and indelible. The marking of product is to enable traceability to the DNV GL Type Approval Certificate.</w:t>
      </w:r>
    </w:p>
    <w:p>
      <w:pPr>
        <w:pStyle w:val="BodyText"/>
      </w:pPr>
    </w:p>
    <w:p>
      <w:pPr>
        <w:pStyle w:val="Heading1"/>
      </w:pPr>
      <w:r>
        <w:rPr/>
        <w:t>Periodical assessment</w:t>
      </w:r>
    </w:p>
    <w:p>
      <w:pPr>
        <w:pStyle w:val="BodyText"/>
        <w:spacing w:before="219"/>
        <w:ind w:left="130" w:right="203"/>
      </w:pPr>
      <w:r>
        <w:rPr/>
        <w:t>The scope of the Periodical Assessment is to verify that the conditions stipulated for the Type Approval is complied with and that no alterations are made to the product design or choice of materials.</w:t>
      </w:r>
    </w:p>
    <w:p>
      <w:pPr>
        <w:pStyle w:val="BodyText"/>
      </w:pPr>
    </w:p>
    <w:p>
      <w:pPr>
        <w:pStyle w:val="BodyText"/>
        <w:ind w:left="130" w:right="90"/>
      </w:pPr>
      <w:r>
        <w:rPr/>
        <w:t>Periodical Assessment to be performed after 2.5 years (Certificate Retention) and at renewal after 5 years (Certificate Renewal).</w:t>
      </w:r>
    </w:p>
    <w:p>
      <w:pPr>
        <w:pStyle w:val="BodyText"/>
      </w:pPr>
    </w:p>
    <w:p>
      <w:pPr>
        <w:pStyle w:val="BodyText"/>
        <w:ind w:left="130"/>
      </w:pPr>
      <w:r>
        <w:rPr/>
        <w:t>The main elements of the Periodical Assessment are to:</w:t>
      </w:r>
    </w:p>
    <w:p>
      <w:pPr>
        <w:pStyle w:val="ListParagraph"/>
        <w:numPr>
          <w:ilvl w:val="0"/>
          <w:numId w:val="2"/>
        </w:numPr>
        <w:tabs>
          <w:tab w:pos="490" w:val="left" w:leader="none"/>
          <w:tab w:pos="491" w:val="left" w:leader="none"/>
        </w:tabs>
        <w:spacing w:line="220" w:lineRule="exact" w:before="0" w:after="0"/>
        <w:ind w:left="491" w:right="0" w:hanging="361"/>
        <w:jc w:val="left"/>
        <w:rPr>
          <w:sz w:val="18"/>
        </w:rPr>
      </w:pPr>
      <w:r>
        <w:rPr>
          <w:sz w:val="18"/>
        </w:rPr>
        <w:t>Ensure that </w:t>
      </w:r>
      <w:r>
        <w:rPr>
          <w:b/>
          <w:sz w:val="18"/>
        </w:rPr>
        <w:t>Type Approval documentation </w:t>
      </w:r>
      <w:r>
        <w:rPr>
          <w:sz w:val="18"/>
        </w:rPr>
        <w:t>is</w:t>
      </w:r>
      <w:r>
        <w:rPr>
          <w:spacing w:val="-2"/>
          <w:sz w:val="18"/>
        </w:rPr>
        <w:t> </w:t>
      </w:r>
      <w:r>
        <w:rPr>
          <w:sz w:val="18"/>
        </w:rPr>
        <w:t>available.</w:t>
      </w:r>
    </w:p>
    <w:p>
      <w:pPr>
        <w:pStyle w:val="ListParagraph"/>
        <w:numPr>
          <w:ilvl w:val="0"/>
          <w:numId w:val="2"/>
        </w:numPr>
        <w:tabs>
          <w:tab w:pos="490" w:val="left" w:leader="none"/>
          <w:tab w:pos="491" w:val="left" w:leader="none"/>
        </w:tabs>
        <w:spacing w:line="240" w:lineRule="auto" w:before="0" w:after="0"/>
        <w:ind w:left="490" w:right="319" w:hanging="360"/>
        <w:jc w:val="left"/>
        <w:rPr>
          <w:sz w:val="18"/>
        </w:rPr>
      </w:pPr>
      <w:r>
        <w:rPr>
          <w:sz w:val="18"/>
        </w:rPr>
        <w:t>Review design, materials, production process, and performance with respect to possible changes, in order to ensure compliance with </w:t>
      </w:r>
      <w:r>
        <w:rPr>
          <w:b/>
          <w:sz w:val="18"/>
        </w:rPr>
        <w:t>Type Approval documentation </w:t>
      </w:r>
      <w:r>
        <w:rPr>
          <w:sz w:val="18"/>
        </w:rPr>
        <w:t>and/or referenced material specifications.</w:t>
      </w:r>
    </w:p>
    <w:p>
      <w:pPr>
        <w:pStyle w:val="ListParagraph"/>
        <w:numPr>
          <w:ilvl w:val="0"/>
          <w:numId w:val="2"/>
        </w:numPr>
        <w:tabs>
          <w:tab w:pos="490" w:val="left" w:leader="none"/>
          <w:tab w:pos="491" w:val="left" w:leader="none"/>
        </w:tabs>
        <w:spacing w:line="240" w:lineRule="auto" w:before="0" w:after="0"/>
        <w:ind w:left="490" w:right="1019" w:hanging="360"/>
        <w:jc w:val="left"/>
        <w:rPr>
          <w:sz w:val="18"/>
        </w:rPr>
      </w:pPr>
      <w:r>
        <w:rPr>
          <w:sz w:val="18"/>
        </w:rPr>
        <w:t>Ensure traceability between manufacturer’s product marking and the DNV GL Type Approval Certificate.</w:t>
      </w:r>
    </w:p>
    <w:p>
      <w:pPr>
        <w:pStyle w:val="BodyText"/>
        <w:spacing w:before="7"/>
        <w:rPr>
          <w:sz w:val="17"/>
        </w:rPr>
      </w:pPr>
    </w:p>
    <w:p>
      <w:pPr>
        <w:pStyle w:val="BodyText"/>
        <w:spacing w:before="1"/>
        <w:ind w:left="130"/>
      </w:pPr>
      <w:r>
        <w:rPr/>
        <w:t>END OF CERTIFICATE</w:t>
      </w:r>
    </w:p>
    <w:sectPr>
      <w:pgSz w:w="11910" w:h="16840"/>
      <w:pgMar w:header="774" w:footer="612" w:top="2160" w:bottom="800" w:left="10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83520" from="59.549999pt,797.474976pt" to="538.649975pt,797.474976pt" stroked="true" strokeweight=".25pt" strokecolor="#009fda">
          <v:stroke dashstyle="solid"/>
          <w10:wrap type="none"/>
        </v:line>
      </w:pict>
    </w:r>
    <w:r>
      <w:rPr/>
      <w:pict>
        <v:shape style="position:absolute;margin-left:58.549999pt;margin-top:796.700073pt;width:72.7pt;height:9.9pt;mso-position-horizontal-relative:page;mso-position-vertical-relative:page;z-index:-251882496" type="#_x0000_t202" filled="false" stroked="false">
          <v:textbox inset="0,0,0,0">
            <w:txbxContent>
              <w:p>
                <w:pPr>
                  <w:spacing w:before="20"/>
                  <w:ind w:left="20" w:right="0" w:firstLine="0"/>
                  <w:jc w:val="left"/>
                  <w:rPr>
                    <w:sz w:val="13"/>
                  </w:rPr>
                </w:pPr>
                <w:r>
                  <w:rPr>
                    <w:sz w:val="13"/>
                  </w:rPr>
                  <w:t>Form code: TA 1411a</w:t>
                </w:r>
              </w:p>
            </w:txbxContent>
          </v:textbox>
          <w10:wrap type="none"/>
        </v:shape>
      </w:pict>
    </w:r>
    <w:r>
      <w:rPr/>
      <w:pict>
        <v:shape style="position:absolute;margin-left:178.300003pt;margin-top:796.700073pt;width:62.2pt;height:9.9pt;mso-position-horizontal-relative:page;mso-position-vertical-relative:page;z-index:-251881472" type="#_x0000_t202" filled="false" stroked="false">
          <v:textbox inset="0,0,0,0">
            <w:txbxContent>
              <w:p>
                <w:pPr>
                  <w:spacing w:before="20"/>
                  <w:ind w:left="20" w:right="0" w:firstLine="0"/>
                  <w:jc w:val="left"/>
                  <w:rPr>
                    <w:sz w:val="13"/>
                  </w:rPr>
                </w:pPr>
                <w:r>
                  <w:rPr>
                    <w:sz w:val="13"/>
                  </w:rPr>
                  <w:t>Revision: 2015-05</w:t>
                </w:r>
              </w:p>
            </w:txbxContent>
          </v:textbox>
          <w10:wrap type="none"/>
        </v:shape>
      </w:pict>
    </w:r>
    <w:r>
      <w:rPr/>
      <w:pict>
        <v:shape style="position:absolute;margin-left:365.666016pt;margin-top:796.700073pt;width:54.2pt;height:9.9pt;mso-position-horizontal-relative:page;mso-position-vertical-relative:page;z-index:-251880448" type="#_x0000_t202" filled="false" stroked="false">
          <v:textbox inset="0,0,0,0">
            <w:txbxContent>
              <w:p>
                <w:pPr>
                  <w:spacing w:before="20"/>
                  <w:ind w:left="20" w:right="0" w:firstLine="0"/>
                  <w:jc w:val="left"/>
                  <w:rPr>
                    <w:sz w:val="13"/>
                  </w:rPr>
                </w:pPr>
                <w:hyperlink r:id="rId1">
                  <w:r>
                    <w:rPr>
                      <w:sz w:val="13"/>
                    </w:rPr>
                    <w:t>www.dnvgl.com</w:t>
                  </w:r>
                </w:hyperlink>
              </w:p>
            </w:txbxContent>
          </v:textbox>
          <w10:wrap type="none"/>
        </v:shape>
      </w:pict>
    </w:r>
    <w:r>
      <w:rPr/>
      <w:pict>
        <v:shape style="position:absolute;margin-left:500.556pt;margin-top:796.700073pt;width:39.1pt;height:9.9pt;mso-position-horizontal-relative:page;mso-position-vertical-relative:page;z-index:-251879424" type="#_x0000_t202" filled="false" stroked="false">
          <v:textbox inset="0,0,0,0">
            <w:txbxContent>
              <w:p>
                <w:pPr>
                  <w:spacing w:before="20"/>
                  <w:ind w:left="20" w:right="0" w:firstLine="0"/>
                  <w:jc w:val="left"/>
                  <w:rPr>
                    <w:sz w:val="13"/>
                  </w:rPr>
                </w:pPr>
                <w:r>
                  <w:rPr>
                    <w:sz w:val="13"/>
                  </w:rPr>
                  <w:t>Page </w:t>
                </w:r>
                <w:r>
                  <w:rPr/>
                  <w:fldChar w:fldCharType="begin"/>
                </w:r>
                <w:r>
                  <w:rPr>
                    <w:sz w:val="13"/>
                  </w:rPr>
                  <w:instrText> PAGE </w:instrText>
                </w:r>
                <w:r>
                  <w:rPr/>
                  <w:fldChar w:fldCharType="separate"/>
                </w:r>
                <w:r>
                  <w:rPr/>
                  <w:t>2</w:t>
                </w:r>
                <w:r>
                  <w:rPr/>
                  <w:fldChar w:fldCharType="end"/>
                </w:r>
                <w:r>
                  <w:rPr>
                    <w:sz w:val="13"/>
                  </w:rPr>
                  <w:t> of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7840">
          <wp:simplePos x="0" y="0"/>
          <wp:positionH relativeFrom="page">
            <wp:posOffset>756284</wp:posOffset>
          </wp:positionH>
          <wp:positionV relativeFrom="page">
            <wp:posOffset>491490</wp:posOffset>
          </wp:positionV>
          <wp:extent cx="6097270" cy="3810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097270" cy="3810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8864">
          <wp:simplePos x="0" y="0"/>
          <wp:positionH relativeFrom="page">
            <wp:posOffset>756284</wp:posOffset>
          </wp:positionH>
          <wp:positionV relativeFrom="page">
            <wp:posOffset>491490</wp:posOffset>
          </wp:positionV>
          <wp:extent cx="6097270" cy="38100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6097270" cy="3810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46.849976pt;margin-top:85.487656pt;width:33.8pt;height:12.95pt;mso-position-horizontal-relative:page;mso-position-vertical-relative:page;z-index:-251886592" type="#_x0000_t202" filled="false" stroked="false">
          <v:textbox inset="0,0,0,0">
            <w:txbxContent>
              <w:p>
                <w:pPr>
                  <w:pStyle w:val="BodyText"/>
                  <w:spacing w:before="20"/>
                  <w:ind w:left="20"/>
                </w:pPr>
                <w:r>
                  <w:rPr/>
                  <w:t>Job Id:</w:t>
                </w:r>
              </w:p>
            </w:txbxContent>
          </v:textbox>
          <w10:wrap type="none"/>
        </v:shape>
      </w:pict>
    </w:r>
    <w:r>
      <w:rPr/>
      <w:pict>
        <v:shape style="position:absolute;margin-left:417.75pt;margin-top:85.487656pt;width:84.2pt;height:12.95pt;mso-position-horizontal-relative:page;mso-position-vertical-relative:page;z-index:-251885568" type="#_x0000_t202" filled="false" stroked="false">
          <v:textbox inset="0,0,0,0">
            <w:txbxContent>
              <w:p>
                <w:pPr>
                  <w:spacing w:before="20"/>
                  <w:ind w:left="20" w:right="0" w:firstLine="0"/>
                  <w:jc w:val="left"/>
                  <w:rPr>
                    <w:b/>
                    <w:sz w:val="18"/>
                  </w:rPr>
                </w:pPr>
                <w:hyperlink w:history="true" w:anchor="_bookmark1">
                  <w:r>
                    <w:rPr>
                      <w:b/>
                      <w:sz w:val="18"/>
                    </w:rPr>
                    <w:t>262.1-018207-1</w:t>
                  </w:r>
                </w:hyperlink>
              </w:p>
            </w:txbxContent>
          </v:textbox>
          <w10:wrap type="none"/>
        </v:shape>
      </w:pict>
    </w:r>
    <w:r>
      <w:rPr/>
      <w:pict>
        <v:shape style="position:absolute;margin-left:346.849976pt;margin-top:96.425659pt;width:137.8pt;height:12.95pt;mso-position-horizontal-relative:page;mso-position-vertical-relative:page;z-index:-251884544" type="#_x0000_t202" filled="false" stroked="false">
          <v:textbox inset="0,0,0,0">
            <w:txbxContent>
              <w:p>
                <w:pPr>
                  <w:spacing w:before="20"/>
                  <w:ind w:left="20" w:right="0" w:firstLine="0"/>
                  <w:jc w:val="left"/>
                  <w:rPr>
                    <w:b/>
                    <w:sz w:val="18"/>
                  </w:rPr>
                </w:pPr>
                <w:r>
                  <w:rPr>
                    <w:sz w:val="18"/>
                  </w:rPr>
                  <w:t>Certificate No: </w:t>
                </w:r>
                <w:hyperlink w:history="true" w:anchor="_bookmark0">
                  <w:r>
                    <w:rPr>
                      <w:b/>
                      <w:sz w:val="18"/>
                    </w:rPr>
                    <w:t>TAS00000SR</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91" w:hanging="360"/>
      </w:pPr>
      <w:rPr>
        <w:rFonts w:hint="default" w:ascii="Symbol" w:hAnsi="Symbol" w:eastAsia="Symbol" w:cs="Symbol"/>
        <w:w w:val="100"/>
        <w:sz w:val="18"/>
        <w:szCs w:val="18"/>
        <w:lang w:val="en-US" w:eastAsia="en-US" w:bidi="en-US"/>
      </w:rPr>
    </w:lvl>
    <w:lvl w:ilvl="1">
      <w:start w:val="0"/>
      <w:numFmt w:val="bullet"/>
      <w:lvlText w:val="•"/>
      <w:lvlJc w:val="left"/>
      <w:pPr>
        <w:ind w:left="1438" w:hanging="360"/>
      </w:pPr>
      <w:rPr>
        <w:rFonts w:hint="default"/>
        <w:lang w:val="en-US" w:eastAsia="en-US" w:bidi="en-US"/>
      </w:rPr>
    </w:lvl>
    <w:lvl w:ilvl="2">
      <w:start w:val="0"/>
      <w:numFmt w:val="bullet"/>
      <w:lvlText w:val="•"/>
      <w:lvlJc w:val="left"/>
      <w:pPr>
        <w:ind w:left="2377" w:hanging="360"/>
      </w:pPr>
      <w:rPr>
        <w:rFonts w:hint="default"/>
        <w:lang w:val="en-US" w:eastAsia="en-US" w:bidi="en-US"/>
      </w:rPr>
    </w:lvl>
    <w:lvl w:ilvl="3">
      <w:start w:val="0"/>
      <w:numFmt w:val="bullet"/>
      <w:lvlText w:val="•"/>
      <w:lvlJc w:val="left"/>
      <w:pPr>
        <w:ind w:left="3316" w:hanging="360"/>
      </w:pPr>
      <w:rPr>
        <w:rFonts w:hint="default"/>
        <w:lang w:val="en-US" w:eastAsia="en-US" w:bidi="en-US"/>
      </w:rPr>
    </w:lvl>
    <w:lvl w:ilvl="4">
      <w:start w:val="0"/>
      <w:numFmt w:val="bullet"/>
      <w:lvlText w:val="•"/>
      <w:lvlJc w:val="left"/>
      <w:pPr>
        <w:ind w:left="4254" w:hanging="360"/>
      </w:pPr>
      <w:rPr>
        <w:rFonts w:hint="default"/>
        <w:lang w:val="en-US" w:eastAsia="en-US" w:bidi="en-US"/>
      </w:rPr>
    </w:lvl>
    <w:lvl w:ilvl="5">
      <w:start w:val="0"/>
      <w:numFmt w:val="bullet"/>
      <w:lvlText w:val="•"/>
      <w:lvlJc w:val="left"/>
      <w:pPr>
        <w:ind w:left="5193" w:hanging="360"/>
      </w:pPr>
      <w:rPr>
        <w:rFonts w:hint="default"/>
        <w:lang w:val="en-US" w:eastAsia="en-US" w:bidi="en-US"/>
      </w:rPr>
    </w:lvl>
    <w:lvl w:ilvl="6">
      <w:start w:val="0"/>
      <w:numFmt w:val="bullet"/>
      <w:lvlText w:val="•"/>
      <w:lvlJc w:val="left"/>
      <w:pPr>
        <w:ind w:left="6132" w:hanging="360"/>
      </w:pPr>
      <w:rPr>
        <w:rFonts w:hint="default"/>
        <w:lang w:val="en-US" w:eastAsia="en-US" w:bidi="en-US"/>
      </w:rPr>
    </w:lvl>
    <w:lvl w:ilvl="7">
      <w:start w:val="0"/>
      <w:numFmt w:val="bullet"/>
      <w:lvlText w:val="•"/>
      <w:lvlJc w:val="left"/>
      <w:pPr>
        <w:ind w:left="7070" w:hanging="360"/>
      </w:pPr>
      <w:rPr>
        <w:rFonts w:hint="default"/>
        <w:lang w:val="en-US" w:eastAsia="en-US" w:bidi="en-US"/>
      </w:rPr>
    </w:lvl>
    <w:lvl w:ilvl="8">
      <w:start w:val="0"/>
      <w:numFmt w:val="bullet"/>
      <w:lvlText w:val="•"/>
      <w:lvlJc w:val="left"/>
      <w:pPr>
        <w:ind w:left="8009" w:hanging="360"/>
      </w:pPr>
      <w:rPr>
        <w:rFonts w:hint="default"/>
        <w:lang w:val="en-US" w:eastAsia="en-US" w:bidi="en-US"/>
      </w:rPr>
    </w:lvl>
  </w:abstractNum>
  <w:abstractNum w:abstractNumId="0">
    <w:multiLevelType w:val="hybridMultilevel"/>
    <w:lvl w:ilvl="0">
      <w:start w:val="0"/>
      <w:numFmt w:val="bullet"/>
      <w:lvlText w:val="-"/>
      <w:lvlJc w:val="left"/>
      <w:pPr>
        <w:ind w:left="2436" w:hanging="146"/>
      </w:pPr>
      <w:rPr>
        <w:rFonts w:hint="default" w:ascii="Verdana" w:hAnsi="Verdana" w:eastAsia="Verdana" w:cs="Verdana"/>
        <w:spacing w:val="-1"/>
        <w:w w:val="100"/>
        <w:sz w:val="18"/>
        <w:szCs w:val="18"/>
        <w:lang w:val="en-US" w:eastAsia="en-US" w:bidi="en-US"/>
      </w:rPr>
    </w:lvl>
    <w:lvl w:ilvl="1">
      <w:start w:val="0"/>
      <w:numFmt w:val="bullet"/>
      <w:lvlText w:val="•"/>
      <w:lvlJc w:val="left"/>
      <w:pPr>
        <w:ind w:left="3184" w:hanging="146"/>
      </w:pPr>
      <w:rPr>
        <w:rFonts w:hint="default"/>
        <w:lang w:val="en-US" w:eastAsia="en-US" w:bidi="en-US"/>
      </w:rPr>
    </w:lvl>
    <w:lvl w:ilvl="2">
      <w:start w:val="0"/>
      <w:numFmt w:val="bullet"/>
      <w:lvlText w:val="•"/>
      <w:lvlJc w:val="left"/>
      <w:pPr>
        <w:ind w:left="3929" w:hanging="146"/>
      </w:pPr>
      <w:rPr>
        <w:rFonts w:hint="default"/>
        <w:lang w:val="en-US" w:eastAsia="en-US" w:bidi="en-US"/>
      </w:rPr>
    </w:lvl>
    <w:lvl w:ilvl="3">
      <w:start w:val="0"/>
      <w:numFmt w:val="bullet"/>
      <w:lvlText w:val="•"/>
      <w:lvlJc w:val="left"/>
      <w:pPr>
        <w:ind w:left="4674" w:hanging="146"/>
      </w:pPr>
      <w:rPr>
        <w:rFonts w:hint="default"/>
        <w:lang w:val="en-US" w:eastAsia="en-US" w:bidi="en-US"/>
      </w:rPr>
    </w:lvl>
    <w:lvl w:ilvl="4">
      <w:start w:val="0"/>
      <w:numFmt w:val="bullet"/>
      <w:lvlText w:val="•"/>
      <w:lvlJc w:val="left"/>
      <w:pPr>
        <w:ind w:left="5418" w:hanging="146"/>
      </w:pPr>
      <w:rPr>
        <w:rFonts w:hint="default"/>
        <w:lang w:val="en-US" w:eastAsia="en-US" w:bidi="en-US"/>
      </w:rPr>
    </w:lvl>
    <w:lvl w:ilvl="5">
      <w:start w:val="0"/>
      <w:numFmt w:val="bullet"/>
      <w:lvlText w:val="•"/>
      <w:lvlJc w:val="left"/>
      <w:pPr>
        <w:ind w:left="6163" w:hanging="146"/>
      </w:pPr>
      <w:rPr>
        <w:rFonts w:hint="default"/>
        <w:lang w:val="en-US" w:eastAsia="en-US" w:bidi="en-US"/>
      </w:rPr>
    </w:lvl>
    <w:lvl w:ilvl="6">
      <w:start w:val="0"/>
      <w:numFmt w:val="bullet"/>
      <w:lvlText w:val="•"/>
      <w:lvlJc w:val="left"/>
      <w:pPr>
        <w:ind w:left="6908" w:hanging="146"/>
      </w:pPr>
      <w:rPr>
        <w:rFonts w:hint="default"/>
        <w:lang w:val="en-US" w:eastAsia="en-US" w:bidi="en-US"/>
      </w:rPr>
    </w:lvl>
    <w:lvl w:ilvl="7">
      <w:start w:val="0"/>
      <w:numFmt w:val="bullet"/>
      <w:lvlText w:val="•"/>
      <w:lvlJc w:val="left"/>
      <w:pPr>
        <w:ind w:left="7652" w:hanging="146"/>
      </w:pPr>
      <w:rPr>
        <w:rFonts w:hint="default"/>
        <w:lang w:val="en-US" w:eastAsia="en-US" w:bidi="en-US"/>
      </w:rPr>
    </w:lvl>
    <w:lvl w:ilvl="8">
      <w:start w:val="0"/>
      <w:numFmt w:val="bullet"/>
      <w:lvlText w:val="•"/>
      <w:lvlJc w:val="left"/>
      <w:pPr>
        <w:ind w:left="8397" w:hanging="146"/>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rPr>
      <w:rFonts w:ascii="Verdana" w:hAnsi="Verdana" w:eastAsia="Verdana" w:cs="Verdana"/>
      <w:sz w:val="18"/>
      <w:szCs w:val="18"/>
      <w:lang w:val="en-US" w:eastAsia="en-US" w:bidi="en-US"/>
    </w:rPr>
  </w:style>
  <w:style w:styleId="Heading1" w:type="paragraph">
    <w:name w:val="Heading 1"/>
    <w:basedOn w:val="Normal"/>
    <w:uiPriority w:val="1"/>
    <w:qFormat/>
    <w:pPr>
      <w:ind w:left="130"/>
      <w:outlineLvl w:val="1"/>
    </w:pPr>
    <w:rPr>
      <w:rFonts w:ascii="Verdana" w:hAnsi="Verdana" w:eastAsia="Verdana" w:cs="Verdana"/>
      <w:b/>
      <w:bCs/>
      <w:sz w:val="22"/>
      <w:szCs w:val="22"/>
      <w:lang w:val="en-US" w:eastAsia="en-US" w:bidi="en-US"/>
    </w:rPr>
  </w:style>
  <w:style w:styleId="Heading2" w:type="paragraph">
    <w:name w:val="Heading 2"/>
    <w:basedOn w:val="Normal"/>
    <w:uiPriority w:val="1"/>
    <w:qFormat/>
    <w:pPr>
      <w:ind w:left="130"/>
      <w:outlineLvl w:val="2"/>
    </w:pPr>
    <w:rPr>
      <w:rFonts w:ascii="Verdana" w:hAnsi="Verdana" w:eastAsia="Verdana" w:cs="Verdana"/>
      <w:b/>
      <w:bCs/>
      <w:sz w:val="18"/>
      <w:szCs w:val="18"/>
      <w:lang w:val="en-US" w:eastAsia="en-US" w:bidi="en-US"/>
    </w:rPr>
  </w:style>
  <w:style w:styleId="ListParagraph" w:type="paragraph">
    <w:name w:val="List Paragraph"/>
    <w:basedOn w:val="Normal"/>
    <w:uiPriority w:val="1"/>
    <w:qFormat/>
    <w:pPr>
      <w:ind w:left="2436" w:hanging="147"/>
    </w:pPr>
    <w:rPr>
      <w:rFonts w:ascii="Verdana" w:hAnsi="Verdana" w:eastAsia="Verdana" w:cs="Verdan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hyperlink" Target="http://www.dnvgl.com/" TargetMode="Externa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nvg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Hersvik, Gisle</dc:creator>
  <dcterms:created xsi:type="dcterms:W3CDTF">2019-08-29T18:58:03Z</dcterms:created>
  <dcterms:modified xsi:type="dcterms:W3CDTF">2019-08-29T18:58:03Z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Microsoft Office Word</vt:lpwstr>
  </property>
  <property fmtid="{D5CDD505-2E9C-101B-9397-08002B2CF9AE}" pid="4" name="LastSaved">
    <vt:filetime>2019-08-29T00:00:00Z</vt:filetime>
  </property>
</Properties>
</file>